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color="000000"/>
          <w:rtl w:val="0"/>
          <w:lang w:val="en-US"/>
        </w:rPr>
        <w:t>Financial and Non-Financial Disclosures, 3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color="000000"/>
          <w:rtl w:val="0"/>
          <w:lang w:val="en-US"/>
        </w:rPr>
        <w:t xml:space="preserve">2nd </w:t>
      </w: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color="000000"/>
          <w:rtl w:val="0"/>
          <w:lang w:val="en-US"/>
        </w:rPr>
        <w:t>Annual SPALS Conference, 202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color="000000"/>
          <w:rtl w:val="0"/>
          <w:lang w:val="en-US"/>
        </w:rPr>
        <w:t>5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tbl>
      <w:tblPr>
        <w:tblW w:w="924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530"/>
        <w:gridCol w:w="6712"/>
      </w:tblGrid>
      <w:tr>
        <w:tblPrEx>
          <w:shd w:val="clear" w:color="auto" w:fill="cadfff"/>
        </w:tblPrEx>
        <w:trPr>
          <w:trHeight w:val="1220" w:hRule="atLeast"/>
        </w:trPr>
        <w:tc>
          <w:tcPr>
            <w:tcW w:type="dxa" w:w="2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160" w:line="259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Dr.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Eileen K. Haebig</w:t>
            </w:r>
          </w:p>
        </w:tc>
        <w:tc>
          <w:tcPr>
            <w:tcW w:type="dxa" w:w="6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Financial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The presenter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s a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full-time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employee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as an associate professor at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Louisiana State University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and is receiving an honorarium from SPALS.  </w:t>
            </w:r>
          </w:p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Non-Financial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: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There are no non-financial disclosures</w:t>
            </w:r>
          </w:p>
        </w:tc>
      </w:tr>
      <w:tr>
        <w:tblPrEx>
          <w:shd w:val="clear" w:color="auto" w:fill="cadfff"/>
        </w:tblPrEx>
        <w:trPr>
          <w:trHeight w:val="2100" w:hRule="atLeast"/>
        </w:trPr>
        <w:tc>
          <w:tcPr>
            <w:tcW w:type="dxa" w:w="2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Dr.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Christy W. Moland</w:t>
            </w:r>
          </w:p>
        </w:tc>
        <w:tc>
          <w:tcPr>
            <w:tcW w:type="dxa" w:w="6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Financial: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The presenter 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is employed by Louisiana State University and receives funds from an NIH grant (NIDCD 1R01DC020434). </w:t>
            </w:r>
            <w:r>
              <w:rPr>
                <w:rFonts w:ascii="Times New Roman" w:hAnsi="Times New Roman" w:hint="default"/>
                <w:rtl w:val="0"/>
                <w:lang w:val="en-US"/>
              </w:rPr>
              <w:t>​</w:t>
            </w:r>
            <w:r>
              <w:rPr>
                <w:rFonts w:ascii="Times New Roman" w:hAnsi="Times New Roman"/>
                <w:rtl w:val="0"/>
                <w:lang w:val="en-US"/>
              </w:rPr>
              <w:t>She receives a small stipend for serving as a test consultant for the re-norming of the DELV test series and is receiving an honorarium from SPALS.</w:t>
            </w:r>
          </w:p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Non-financial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 xml:space="preserve">: </w:t>
            </w:r>
            <w:r>
              <w:rPr>
                <w:rFonts w:ascii="Times New Roman" w:hAnsi="Times New Roman"/>
                <w:rtl w:val="0"/>
                <w:lang w:val="en-US"/>
              </w:rPr>
              <w:t>This presenter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rtl w:val="0"/>
                <w:lang w:val="en-US"/>
              </w:rPr>
              <w:t>is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 a member of ASHA</w:t>
            </w:r>
            <w:r>
              <w:rPr>
                <w:rFonts w:ascii="Times New Roman" w:hAnsi="Times New Roman" w:hint="default"/>
                <w:rtl w:val="1"/>
              </w:rPr>
              <w:t>’</w:t>
            </w:r>
            <w:r>
              <w:rPr>
                <w:rFonts w:ascii="Times New Roman" w:hAnsi="Times New Roman"/>
                <w:rtl w:val="0"/>
                <w:lang w:val="en-US"/>
              </w:rPr>
              <w:t>s SIG 1 &amp; SIG 14 and NBASLH.</w:t>
            </w:r>
          </w:p>
        </w:tc>
      </w:tr>
      <w:tr>
        <w:tblPrEx>
          <w:shd w:val="clear" w:color="auto" w:fill="cadfff"/>
        </w:tblPrEx>
        <w:trPr>
          <w:trHeight w:val="1440" w:hRule="atLeast"/>
        </w:trPr>
        <w:tc>
          <w:tcPr>
            <w:tcW w:type="dxa" w:w="2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Dr.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Annette Hurley</w:t>
            </w:r>
          </w:p>
        </w:tc>
        <w:tc>
          <w:tcPr>
            <w:tcW w:type="dxa" w:w="6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Financial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The presenter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is an employee of Louisiana State University Health Sciences Center.  An honorarium to LSUHSC Foundation Communication Disorders is accepted on her behalf.  </w:t>
            </w:r>
          </w:p>
          <w:p>
            <w:pPr>
              <w:pStyle w:val="Body"/>
              <w:spacing w:after="160" w:line="278" w:lineRule="auto"/>
            </w:pPr>
            <w:r>
              <w:rPr>
                <w:b w:val="1"/>
                <w:bCs w:val="1"/>
                <w:kern w:val="2"/>
                <w:rtl w:val="0"/>
                <w:lang w:val="it-IT"/>
              </w:rPr>
              <w:t>Non-Financial</w:t>
            </w:r>
            <w:r>
              <w:rPr>
                <w:b w:val="1"/>
                <w:bCs w:val="1"/>
                <w:kern w:val="2"/>
                <w:rtl w:val="0"/>
                <w:lang w:val="en-US"/>
              </w:rPr>
              <w:t xml:space="preserve">:  </w:t>
            </w:r>
            <w:r>
              <w:rPr>
                <w:kern w:val="2"/>
                <w:rtl w:val="0"/>
                <w:lang w:val="en-US"/>
              </w:rPr>
              <w:t xml:space="preserve">There are no non-financial disclosures.  </w:t>
            </w:r>
          </w:p>
        </w:tc>
      </w:tr>
      <w:tr>
        <w:tblPrEx>
          <w:shd w:val="clear" w:color="auto" w:fill="cadfff"/>
        </w:tblPrEx>
        <w:trPr>
          <w:trHeight w:val="1770" w:hRule="atLeast"/>
        </w:trPr>
        <w:tc>
          <w:tcPr>
            <w:tcW w:type="dxa" w:w="2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Leon Winters</w:t>
            </w:r>
          </w:p>
        </w:tc>
        <w:tc>
          <w:tcPr>
            <w:tcW w:type="dxa" w:w="6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Financial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The presenter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is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the owner of Winters Mental Health and Consulting and is receiving an honrarium from SPALS.</w:t>
            </w:r>
          </w:p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Non-Financial: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There are no non-financial disclosures.</w:t>
            </w:r>
          </w:p>
        </w:tc>
      </w:tr>
      <w:tr>
        <w:tblPrEx>
          <w:shd w:val="clear" w:color="auto" w:fill="cadfff"/>
        </w:tblPrEx>
        <w:trPr>
          <w:trHeight w:val="1088" w:hRule="atLeast"/>
        </w:trPr>
        <w:tc>
          <w:tcPr>
            <w:tcW w:type="dxa" w:w="2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Brittney Wright</w:t>
            </w:r>
          </w:p>
        </w:tc>
        <w:tc>
          <w:tcPr>
            <w:tcW w:type="dxa" w:w="6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60" w:line="278" w:lineRule="auto"/>
            </w:pPr>
            <w:r>
              <w:rPr>
                <w:b w:val="1"/>
                <w:bCs w:val="1"/>
                <w:kern w:val="2"/>
                <w:rtl w:val="0"/>
                <w:lang w:val="en-US"/>
              </w:rPr>
              <w:t>Financial</w:t>
            </w:r>
            <w:r>
              <w:rPr>
                <w:kern w:val="2"/>
                <w:rtl w:val="0"/>
                <w:lang w:val="en-US"/>
              </w:rPr>
              <w:t xml:space="preserve">:  The presenter is receiving an honorarium from SPALS. </w:t>
            </w:r>
            <w:r>
              <w:rPr>
                <w:b w:val="1"/>
                <w:bCs w:val="1"/>
                <w:kern w:val="2"/>
                <w:rtl w:val="0"/>
                <w:lang w:val="it-IT"/>
              </w:rPr>
              <w:t>Non-Financial</w:t>
            </w:r>
            <w:r>
              <w:rPr>
                <w:b w:val="1"/>
                <w:bCs w:val="1"/>
                <w:kern w:val="2"/>
                <w:rtl w:val="0"/>
                <w:lang w:val="en-US"/>
              </w:rPr>
              <w:t xml:space="preserve">:  </w:t>
            </w:r>
            <w:r>
              <w:rPr>
                <w:kern w:val="2"/>
                <w:rtl w:val="0"/>
                <w:lang w:val="en-US"/>
              </w:rPr>
              <w:t xml:space="preserve">There are no non-financial disclosures.  </w:t>
            </w:r>
          </w:p>
        </w:tc>
      </w:tr>
      <w:tr>
        <w:tblPrEx>
          <w:shd w:val="clear" w:color="auto" w:fill="cadfff"/>
        </w:tblPrEx>
        <w:trPr>
          <w:trHeight w:val="1510" w:hRule="atLeast"/>
        </w:trPr>
        <w:tc>
          <w:tcPr>
            <w:tcW w:type="dxa" w:w="2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Jessica Sykes Bates</w:t>
            </w:r>
          </w:p>
        </w:tc>
        <w:tc>
          <w:tcPr>
            <w:tcW w:type="dxa" w:w="6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hd w:val="clear" w:color="auto" w:fill="ffffff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Financial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The p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resenter is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a doctoral student  at Louisiana State University and is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receiving an honorarium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for presentation at the SPALS Conference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. 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Non-financial: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There are no non-financial disclosures.</w:t>
            </w:r>
          </w:p>
        </w:tc>
      </w:tr>
      <w:tr>
        <w:tblPrEx>
          <w:shd w:val="clear" w:color="auto" w:fill="cadfff"/>
        </w:tblPrEx>
        <w:trPr>
          <w:trHeight w:val="1536" w:hRule="atLeast"/>
        </w:trPr>
        <w:tc>
          <w:tcPr>
            <w:tcW w:type="dxa" w:w="2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Kimberly Peters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6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uppressAutoHyphens w:val="1"/>
              <w:spacing w:before="0" w:line="240" w:lineRule="auto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Financial</w:t>
            </w:r>
            <w:r>
              <w:rPr>
                <w:rFonts w:ascii="Times New Roman" w:hAnsi="Times New Roman"/>
                <w:rtl w:val="0"/>
                <w:lang w:val="en-US"/>
              </w:rPr>
              <w:t>- Presenter is the owner of</w:t>
            </w:r>
            <w:r>
              <w:rPr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i w:val="1"/>
                <w:iCs w:val="1"/>
                <w:rtl w:val="0"/>
                <w:lang w:val="en-US"/>
              </w:rPr>
              <w:t>Positive Outcomes, LLC.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rtl w:val="0"/>
                <w:lang w:val="en-US"/>
              </w:rPr>
              <w:t>She will receive an honorarium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 from SPALS.  </w:t>
            </w:r>
          </w:p>
          <w:p>
            <w:pPr>
              <w:pStyle w:val="Default"/>
              <w:suppressAutoHyphens w:val="1"/>
              <w:spacing w:before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Non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financial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rtl w:val="0"/>
                <w:lang w:val="en-US"/>
              </w:rPr>
              <w:t>There are no non-</w:t>
            </w:r>
            <w:r>
              <w:rPr>
                <w:rFonts w:ascii="Times New Roman" w:hAnsi="Times New Roman"/>
                <w:rtl w:val="0"/>
                <w:lang w:val="en-US"/>
              </w:rPr>
              <w:t>financial disclosures</w:t>
            </w:r>
            <w:r>
              <w:rPr>
                <w:rFonts w:ascii="Times New Roman" w:hAnsi="Times New Roman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210" w:hRule="atLeast"/>
        </w:trPr>
        <w:tc>
          <w:tcPr>
            <w:tcW w:type="dxa" w:w="2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Attnys 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Carlar M. Alexander 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Parris Taylor</w:t>
            </w:r>
          </w:p>
        </w:tc>
        <w:tc>
          <w:tcPr>
            <w:tcW w:type="dxa" w:w="6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clear" w:color="auto" w:fill="ffffff"/>
                <w:rtl w:val="0"/>
                <w:lang w:val="pt-PT"/>
              </w:rPr>
              <w:t>Financial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Presenters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are employees of Hammonds, Sills, Adkins, Guice, Noah &amp; Perkins. Presenters are receiving an honorarium for this presentation from SPALS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Non-financial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:  No relevant non-financial disclosures.</w:t>
            </w:r>
          </w:p>
        </w:tc>
      </w:tr>
      <w:tr>
        <w:tblPrEx>
          <w:shd w:val="clear" w:color="auto" w:fill="cadfff"/>
        </w:tblPrEx>
        <w:trPr>
          <w:trHeight w:val="2400" w:hRule="atLeast"/>
        </w:trPr>
        <w:tc>
          <w:tcPr>
            <w:tcW w:type="dxa" w:w="2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</w:p>
          <w:p>
            <w:pPr>
              <w:pStyle w:val="Body A"/>
            </w:pPr>
            <w:r>
              <w:rPr>
                <w:b w:val="1"/>
                <w:bCs w:val="1"/>
                <w:rtl w:val="0"/>
                <w:lang w:val="en-US"/>
              </w:rPr>
              <w:t>Dr. Ashley Argave</w:t>
            </w:r>
          </w:p>
        </w:tc>
        <w:tc>
          <w:tcPr>
            <w:tcW w:type="dxa" w:w="6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rPr>
                <w:rFonts w:ascii="Times New Roman" w:cs="Times New Roman" w:hAnsi="Times New Roman" w:eastAsia="Times New Roman"/>
                <w:b w:val="0"/>
                <w:bCs w:val="0"/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Financial:  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Presenter 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is 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the owner of Sped ACCESS Network DBA Deaf Education Network Louisiana,LLC.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 She r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eceive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income from 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her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company for contracted services provided to schools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and educational institutions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. She is 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employed as a faculty member at Southern University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and is receiving an honorarium from SPALS.  </w:t>
            </w:r>
          </w:p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Non-financial</w:t>
            </w:r>
            <w:r>
              <w:rPr>
                <w:rFonts w:ascii="Times New Roman" w:hAnsi="Times New Roman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:  Presenter</w:t>
            </w:r>
            <w:r>
              <w:rPr>
                <w:rFonts w:ascii="Times New Roman" w:hAnsi="Times New Roman" w:hint="default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hAnsi="Times New Roman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s </w:t>
            </w:r>
            <w:r>
              <w:rPr>
                <w:rFonts w:ascii="Times New Roman" w:hAnsi="Times New Roman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Boards and Commissions</w:t>
            </w:r>
            <w:r>
              <w:rPr>
                <w:rFonts w:ascii="Times New Roman" w:hAnsi="Times New Roman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include chair,  </w:t>
            </w:r>
            <w:r>
              <w:rPr>
                <w:rFonts w:ascii="Times New Roman" w:hAnsi="Times New Roman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Early Hearing Detection Identification (EHDI)</w:t>
            </w:r>
            <w:r>
              <w:rPr>
                <w:rFonts w:ascii="Times New Roman" w:hAnsi="Times New Roman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; secretary, </w:t>
            </w:r>
            <w:r>
              <w:rPr>
                <w:rFonts w:ascii="Times New Roman" w:hAnsi="Times New Roman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Louisiana Commission for the Deaf</w:t>
            </w:r>
            <w:r>
              <w:rPr>
                <w:rFonts w:ascii="Times New Roman" w:hAnsi="Times New Roman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  <w:jc w:val="center"/>
      </w:pPr>
      <w:r>
        <w:rPr>
          <w:rFonts w:ascii="Times New Roman" w:cs="Times New Roman" w:hAnsi="Times New Roman" w:eastAsia="Times New Roman"/>
          <w:sz w:val="28"/>
          <w:szCs w:val="28"/>
          <w:u w:color="00000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